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A8" w:rsidRPr="000971A8" w:rsidRDefault="000971A8" w:rsidP="000971A8">
      <w:pPr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0971A8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"http://www.apers.rs.gov.br/portal/index.php?menu=artigodet&amp;cod=48" </w:instrText>
      </w:r>
      <w:r w:rsidRPr="000971A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0971A8">
        <w:rPr>
          <w:rFonts w:ascii="Verdana" w:eastAsia="Times New Roman" w:hAnsi="Verdana" w:cs="Times New Roman"/>
          <w:b/>
          <w:bCs/>
          <w:color w:val="849926"/>
          <w:sz w:val="18"/>
          <w:szCs w:val="18"/>
          <w:u w:val="single"/>
          <w:shd w:val="clear" w:color="auto" w:fill="FFFFFF"/>
          <w:lang w:eastAsia="pt-BR"/>
        </w:rPr>
        <w:t>Definição do arranjo do acervo - </w:t>
      </w:r>
      <w:r w:rsidRPr="000971A8">
        <w:rPr>
          <w:rFonts w:ascii="Verdana" w:eastAsia="Times New Roman" w:hAnsi="Verdana" w:cs="Times New Roman"/>
          <w:b/>
          <w:bCs/>
          <w:color w:val="808080"/>
          <w:sz w:val="18"/>
          <w:szCs w:val="18"/>
          <w:u w:val="single"/>
          <w:shd w:val="clear" w:color="auto" w:fill="FFFFFF"/>
          <w:lang w:eastAsia="pt-BR"/>
        </w:rPr>
        <w:t>Artigo</w:t>
      </w:r>
      <w:r w:rsidRPr="000971A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0971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Equipe técnica APERS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br/>
        <w:t>14/06/2006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br/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br/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Definição do arranjo do acervo dos Tabelionatos - experiência </w:t>
      </w:r>
      <w:proofErr w:type="gram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interdisciplinar  de</w:t>
      </w:r>
      <w:proofErr w:type="gramEnd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 organização </w:t>
      </w:r>
      <w:proofErr w:type="spell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 e estudo histórico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Porto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Alegre,  julho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2003.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1. introdução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Este trabalho foi o resultado de infinitas discussões teóricas e práticas da equipe técnica do Arquivo Público do Estado, formada por 10 arquivistas, 1 historiógrafa e 5 estagiários do curso de história, ao longo de cinco anos na organização do acervo dos Tabelionatos. Esta tarefa proporcionou vivências e experiências inéditas em nossa trajetória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 Salienta-se que foi um desafio audacioso considerando sua complexidade e o tamanho do acervo contendo 39.404 livros notariais distribuídos em 1.128,47m.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Partindo do princípio que nossa finalidade enquanto Instituição - Arquivo Público do Rio Grande do Sul é prover o usuário de informações fidedignas facilitando seu acesso, articulou-se o "Pensar" em definir, a priori um quadro de arranjo, ou seja, uma organização, norteada pelas normas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arquivísticas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e também baseada na Legislação pertinente às Políticas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Arquivísticas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Deste modo o Projeto, foi dividido em três partes: Na primeira parte, realizou-se toda a estruturação intelectual para definição dos Fundos Documentais, buscando subsídios legais e técnicos, inclusive estudou-se a evolução das alterações territoriais dos municípios, nos quais situam-se os Tabelionatos, produtores dos documentos custodiados por esta instituição. Tal quadro de arranjo resultou em 95 Fundos Documentais assim denominados: Fundo Tabelionato do município de Porto Alegre.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Na segunda parte, foi contemplada a descrição documental de um instrumento de pesquisa auxiliar denominado Índice de Fundos.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A terceira parte constituiu-se da descrição documental de cada Fundo usando a Norma Geral Internacional de Descrição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(ISAD G).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2. Objetivos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Este trabalho tem por objetivo o cumprimento ao Decreto nº 33.200, de 05.06.1989, que institui o Sistema de Arquivo do Estado do Rio Grande do Sul - SIARQ/RS que possui entre seus objetivos: "... assegurar a proteção da documentação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do Poder Público Estadual, como elemento de apoio à administração e por seu valor histórico e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cultural;...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e facilitar acesso ao patrimônio arquivístico público de acordo com as necessidades da administração pública e da comunidade".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3. METODOLOGIA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Diagnóstico da situação encontrada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Foi realizado levantamento de documentos - registro de dados como localização física, nome do Tabelionato, tipologia documental e detectada a alteração de informações nas lombadas dos livros notariais.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Este ato empírico de registro de alterações posteriores a criação do documento, afeta um dos princípios basilares da Arquivologia que é o Princípio da Proveniência. Ele determina a manutenção dos documentos reunidos, respeitando o órgão produtor, nesse caso, o nome do município na época de elaboração do livro notarial. Foi realizada a leitura dos documentos e registro em formulário, dos dados dos livros notariais, dados da lombada e conteúdo dos mesmos, perfazendo um total de 24.000 livros notariais e 215 caixas arquivo, excluídos os livros notariais de Tabelionatos de Porto Alegre. Foram obedecidas as seguintes regras: Retirada as datas-limite do primeiro documento (inicial) e do último documento (final); registrado o tipo de livro notarial que consta no termo de abertura e quando não existia o termo, verificou-se o existente pelo conteúdo dos documentos; quando fossem informações divergentes no termo de abertura, verificou-se a informação correta pelo conteúdo dos documentos e foi registrado no formulário.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Estudo das alterações da divisão territorial do Estado - genealogia dos municípios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Foi realizado o estudo das alterações territoriais do Estado, visando compreender os problemas de organização existentes no acervo, nas lombadas dos livros notariais e obter um embasamento teórico para realizar a correção, ou seja, redefinição do arranjo com a redistribuição física dos documentos, baseada em um critério formal, a legislação dos municípios.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lastRenderedPageBreak/>
        <w:t>A metodologia interdisciplinar do trabalho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É importante salientar que, devido a urgência da organização deste acervo, a dinâmica da pesquisa histórica desenvolveu-se, fundamentalmente, no sentido de responder as questões oriundas do tratamento arquivístico aplicado à documentação. Assim sendo, o conhecimento histórico adquirido foi, em grande parte, gerado em função do caminho proposto pela Arquivologia. E se, à primeira vista, esta dinâmica parecia limitar o estudo histórico; a escassez de referências sobre o tema Tabelionatos, tornou o caminho proposto pela Arquivologia o meio mais eficiente para a construção deste conhecimento.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Assim sendo, embora a missão fosse "pesquisar a história dos Tabelionatos no RGS", a tarefa inicial e essencial foi estudar a formação política do Estado. Daí partiu-se para o aprofundamento da divisão político-administrativa da capital e, em seguida, para o detalhamento dos municípios do interior do Estado. Tangenciando esta trajetória, a compreensão da inserção e atuação da figura do Tabelião e da instituição Tabelionato na estruturação jurídica, política e administrativa do Estado do RS.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A elaboração do "Histórico" foi a primeira, e mais longa tarefa. Seu planejamento objetivava a solução dos equívocos das "emancipações de livros", uma prática que se deu neste acervo, acompanhando as emancipações de municípios do Estado. Precisava-se descobrir quais municípios originaram os municípios que existiam no acervo, e com quais porções de território (distritos) do município original, estes do acervo se constituíram. Ou seja,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à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partir dos municípios do acervo, encontrar os seus "municípios - mães" e com que áreas este "município - mãe" originou seus municípios descendentes.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A partir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daí,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deveria-se</w:t>
      </w:r>
      <w:proofErr w:type="spellEnd"/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confrontar os recortes temporais dos municípios do acervo com a cronologia oficial da formação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geo-política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do Estado.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 relevância deste trabalho está no fato de ele servir de base para a estruturação do que a Arquivologia chama de "arranjo intelectual". Além disso, conhecimento produzido sobre a configuração territorial do Estado poderá ser utilizado como subsídio na organização dos demais acervos desta Casa.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Este estudo concluído, forneceu um panorama geral sobre a configuração territorial dos municípios do Estado em 250 anos de História (da metade do século XVIII ao final do século XX). Foi criado uma espécie de "quadro", sistematizando como ficaria a distribuição do acervo através do parâmetro municipal.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De posse destas fontes, primeiramente fez-se uma análise da atividade notarial ao longo do tempo. Pode-se constatar alterações, extinções e continuidades de algumas atividades do notário. O resultado deste estudo solucionou de imediato a questão dos "Registro Gerais" e "Registros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Torrens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"; tipologias documentais incomuns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portanto, consideradas problemáticas quanto a definição de onde se encaixavam.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Após este minucioso trabalho de reorganização deste acervo, temos propriedade para dizer que esta é uma documentação riquíssima para a comunidade pesquisadora. O conteúdo destes livros notariais constitui material para possíveis elaborações de histórias sobre a administração, a transição de capitais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inter-étnicos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, poder aquisitivo e condições de negociação de grupos sociais (que podem ser distintos entre gêneros, profissões, etnias, locais de moradia). Torna-se possível também o desenvolvimento de algum tipo de história quantitativa através de estatísticas sobre imóveis comprados, vendidos, ou comparação de valores em determinados períodos. As cartas de alforria e escrituras de compra e venda desvelam as negociações efetuadas entre os senhores de escravos, seus pares, e negros cativos e libertos; fornecendo matéria-prima fundamental na construção do conhecimento sobre grupos sociais da elite detentora de prestígio e poder, a etnia negra e demais questões sobre o amplo tema da escravidão. As procurações, contratos, hipotecas e quitações podem simbolizar as mais diversas relações econômicas entre a população da região. Os testamentos, enquanto documentos que listam o patrimônio dos indivíduos, evidenciam o panorama sócio econômico das diversas famílias em uma comunidade.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Definição do arranjo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Foi realizada a definição do arranjo para a distribuição física dos documentos na transferência do acervo do prédio 3 para o prédio 1.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Utilizou-se a terminologia do Conselho Nacional de Arquivos - CONARQ, que conceitua arranjo como "</w:t>
      </w:r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 xml:space="preserve">uma </w:t>
      </w:r>
      <w:proofErr w:type="spellStart"/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>seqüência</w:t>
      </w:r>
      <w:proofErr w:type="spellEnd"/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 xml:space="preserve"> de operações que, de acordo com um plano ou quadro previamente estabelecido, visa a organização dos documentos de um arquivo ou coleção, utilizando-se de diferentes métodos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."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No arranjo definem-se os fundos que retratam a reunião de "um conjunto de documentos de uma mesma proveniência". Para este acervo, os Tabelionatos de cada município foram considerados um fundo,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independente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do número de notários que existiam no município.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Utilizados ainda, os critérios definidos por Michel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Duchein</w:t>
      </w:r>
      <w:bookmarkStart w:id="0" w:name="_ftnref1"/>
      <w:bookmarkEnd w:id="0"/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[1], e definição de fundos abertos e fechados, bem como as soluções abaixo propostas: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lastRenderedPageBreak/>
        <w:t>- Fundo Fechado - </w:t>
      </w:r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>"Quando um organismo é extinto, o fundo de arquivos por ele gerado fica automaticamente encerrado ou fechado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."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Aberto - "Caso haja uma evidente e total continuidade de competência entre o organismo extinto (organismo A) e o novo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organismo  (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organismo B) que o sucede, podemos concluir que se trata, na realidade de simples alteração de nome e/ou de uma pequena modificação do organismo A e que o fundo de arquivos de A não está fechado mas muda simplesmente de nome.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Ainda para a definição correta dos fundos, foi de extrema importância a compreensão do estudo da legislação de cada município do Estado constante no acervo, em razão do diagnóstico realizado, ou seja, a verificação onde ocorreram alteração de dados, nas lombadas dos livros notariais em virtude das alterações territoriais ocorridas.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Definição do quadro de arranjo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Fundo: Tabelionatos de cada município, perfazendo um total de 95 fundos.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Exemplo: </w:t>
      </w:r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 xml:space="preserve">Fundo </w:t>
      </w:r>
      <w:proofErr w:type="gramStart"/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 xml:space="preserve"> 1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- Tabelionatos do município de Porto Alegre, composto pelo 1º ao 8º Tabelionato, freguesias e distritos.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Tipologias Documentais: Livros notariais de contratos, sociedades, hipotecas/quitações, transmissões/notas, registro de conhecimento, compra e venda, procurações, registro de procurações, registros diversos, registro ordinário, registro geral, substabelecimentos, testamentos, apontamento de letras, protesto de letras/protestos especiais, registro de protesto.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Codificação dos fundos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Foi definida numeração para fundos, considerado os Tabelionatos de cada município, custodiado pelo APERS, visando resolver temporariamente o problema de diferença de dados entre a lombada e conteúdo dos livros notariais e, principalmente, facilitar a localização na busca dos documentos, bem como, posterior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rearquivamento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A numeração dos fundos inicia pelos Tabelionatos do município de Porto Alegre, por ser a capital do Estado, considerados número 1, e, os demais municípios do Estado receberam a numeração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seqüencial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, em ordem alfabética.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Os municípios que compõem o mesmo fundo, receberam mesma numeração. Os fundos fechados, com alguma relação com outro município, foram arquivados anteriormente ao município em questão, recebendo numeração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seqüencial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, mas quebrando a ordem alfabética, como os Tabelionatos dos municípios de </w:t>
      </w:r>
      <w:r w:rsidRPr="000971A8">
        <w:rPr>
          <w:rFonts w:ascii="Verdana" w:eastAsia="Times New Roman" w:hAnsi="Verdana" w:cs="Times New Roman"/>
          <w:i/>
          <w:iCs/>
          <w:color w:val="333333"/>
          <w:sz w:val="15"/>
          <w:szCs w:val="15"/>
          <w:shd w:val="clear" w:color="auto" w:fill="FFFFFF"/>
          <w:lang w:eastAsia="pt-BR"/>
        </w:rPr>
        <w:t>Santa Isabel, Santa Cristina e São Martinho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Os municípios que apresentaram dois nomes, em virtude de acréscimos ou supressões, foi adotada nomenclatura atual na definição dos fundos. E os livros notariais retratam a nomenclatura conforme as datas cronológicas de existência.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a) Tabelionatos com ocorrência de mera alteração do nome do município, sendo considerados mesmo fundo: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Fundos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11, 12, 56 -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Caçapava, Cachoeira e Rosário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acréscimo da expressão "do Sul", ao nome do município, em 29/12/1944, alterando para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Caçapava do Sul, Cachoeira do Sul e Rosário do Sul,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adotada nomenclatura atual na definição dos fundos e os livros notariais retratam a nomenclatura conforme as datas cronológicas de existência.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24 -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José Bonifácio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(1938 - 1950) -- é alterado o nome de Erexim para José Bonifácio no período 1938-1944, e depois o município volta a se chamar Erexim.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Erexim.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27 -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Nova Trento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(1916 - 1939) -- adota o nome de Flores da Cunha em dezembro de 1935.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Flores da Cunha.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38 -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Vila Rica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(1891 - 1906 ou 1911) adota o nome de Júlio de Castilhos em dezembro de 1904.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Júlio de Castilhos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43 -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São João de Montenegro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adota o nome de Montenegro em 31/03/1938.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Montenegro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lastRenderedPageBreak/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45 -Tabelionatos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Conceição do Arroio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(1848 ou 1858 - 1937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)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-adota o nome de Osório em maio de 1934.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Osório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48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São Francisco de Paula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-adota o nome de Pelotas em 27/06/1835.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Pelotas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49 -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Cacimbinhas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(1880 - 1920)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-- adota o nome de Pinheiro Machado em outubro de 1915.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Pinheiro Machado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58 -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Santa Maria da Boca do Monte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- ocorre supressão e adota o nome de Santa Maria.. Foi adotada nomenclatura atual na definição dos fundos e 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Santa Maria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62 -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Santiago do Boqueirão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- ocorre supressão e adota o nome de Santiago, em 29/11/1938.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Santiago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82 -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Jacuí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(1928 - 1938)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-- adota o nome de Sobradinho em outubro de 1937.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Sobradinho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86 -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Taquara do Mundo Novo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- ocorre supressão e adota o nome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Taquara,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em 18/12/1908. Foi adotada nomenclatura atual na definição dos fundos e os livros notariais retratam a nomenclatura do município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Taquara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91 - Tabelionatos do município de </w:t>
      </w:r>
      <w:proofErr w:type="spell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Tupaceretã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- ocorre alteração de nome e adota o nome de Tupanciretã, em 30/06/1939. Foi adotada nomenclatura atual na definição dos fundos e os livros notariais retratam a nomenclatura do município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Tupanciretã.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b)    Tabelionatos com transferência de sede, sendo considerados mesmo fundo:</w:t>
      </w:r>
    </w:p>
    <w:p w:rsidR="000971A8" w:rsidRPr="000971A8" w:rsidRDefault="000971A8" w:rsidP="00097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74 -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Boqueirão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(1887 - 1891) -- a sede do município foi, inicialmente, em Boqueirão; depois foi transferida para São João da Reserva (entre junho de 1989 e fevereiro de 1890). Finalmente, a sede foi transferida para São Lourenço, em fevereiro de 1890. Foi adotada nomenclatura atual na definição dos fundos e os livros notariais retratam a nomenclatura conforme as datas cronológicas de </w:t>
      </w:r>
      <w:proofErr w:type="spellStart"/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existência.Arranjo</w:t>
      </w:r>
      <w:proofErr w:type="spellEnd"/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São Lourenço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84-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Dores de Camaquã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(1858 - 1861) e (1867 - 1943) -- a sede foi mudada para Tapes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em maio de 1929. Foi adotada nomenclatura atual na definição dos fundos e os livros notariais retratam a nomenclatura conforme as datas cronológicas de existência. Arranjo (arquivamento) no fundo Tabelionatos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Tapes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c)    Fundos fechados</w:t>
      </w:r>
    </w:p>
    <w:p w:rsidR="000971A8" w:rsidRPr="000971A8" w:rsidRDefault="000971A8" w:rsidP="00097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5 -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Santa Isabel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(1885 - 1893) - este município existiu entre 1882 e 1893. Foi suprimido em janeiro de 1893 e teve seu território anexado ao município de Arroio Grande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.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Portanto, está arquivado antes do fundo dos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Tabelionatos de Arroio Grande,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 mas é considerado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com existência autônoma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ou seja, é Fundo Fechado.</w:t>
      </w:r>
    </w:p>
    <w:p w:rsidR="000971A8" w:rsidRPr="000971A8" w:rsidRDefault="000971A8" w:rsidP="00097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37 -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São Martinho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(1877 - 1903) - município que existiu entre 1876 e 1901. Foi suprimido em julho de 1901 e teve seu território anexado ao município de Vila Rica (hoje Júlio de Castilhos). Portanto, está arquivado antes do fundo dos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Tabelionatos de Júlio de Castilho,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 mas é considerado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com existência autônoma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ou seja, é Fundo Fechado.</w:t>
      </w:r>
    </w:p>
    <w:p w:rsidR="000971A8" w:rsidRPr="000971A8" w:rsidRDefault="000971A8" w:rsidP="00097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85 -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Santa Cristina do Pinhal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(1880 - 1894) - este município existiu entre 1880 e 1892. Foi extinto em setembro de 1892 e teve seu território anexado ao município de Taquara. Portanto, está arquivado antes do fundo dos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Taquara,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 mas é considerado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com existência autônoma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ou seja, é Fundo Fechado.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d)    Fundos em que, posteriormente as datas-limite do acervo do APERS, ocorre alteração de nome do município.</w:t>
      </w:r>
    </w:p>
    <w:p w:rsidR="000971A8" w:rsidRPr="000971A8" w:rsidRDefault="000971A8" w:rsidP="000971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3 -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Alfredo Chaves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(1898 - 1939) -- adota o nome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Veranópolis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em dezembro de 1944.</w:t>
      </w:r>
    </w:p>
    <w:p w:rsidR="000971A8" w:rsidRPr="000971A8" w:rsidRDefault="000971A8" w:rsidP="000971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lastRenderedPageBreak/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51 -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Prata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(1925 - 1937) -- adota o nome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Nova </w:t>
      </w:r>
      <w:proofErr w:type="spell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Prata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em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dezembro de 1944.</w:t>
      </w:r>
    </w:p>
    <w:p w:rsidR="000971A8" w:rsidRPr="000971A8" w:rsidRDefault="000971A8" w:rsidP="000971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63 -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Santo Amaro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(1883 - 1934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)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-- a sede inicial deste município foi Santo Amaro. Em novembro de 1938, a sede municipal foi transferida para a vila da Margem. Em junho de 1939, é adotado o nome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General Câmara.</w:t>
      </w:r>
    </w:p>
    <w:p w:rsidR="000971A8" w:rsidRPr="000971A8" w:rsidRDefault="000971A8" w:rsidP="000971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 Fundo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71 - Tabelionatos do município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São João Batista de Camaquã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(1867 - 1909) - adota o nome de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Camaquã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em novembro de 1938.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Ordenação interna dos fundos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Foi iniciada a ordenação pelos Tabelionatos da Capital do Estado - Porto Alegre e posteriormente pelos Tabelionatos dos municípios do interior, em conformidade com o quadro de arranjo já citado. Dentro de cada fundo, os livros notariais foram arquivados iniciando pela sede do município, posteriormente, pelas Freguesias e com número e nome dos distritos. Utilizado como método secundário, o tipo de livro notarial 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seqüência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numérica correspondente. Definida, também nova numeração para as estantes do prédio 1.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Ordenação dos livros notariais dentro de cada fundo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Foram agrupados alguns tipos de livros notariais por apresentar documentos com mesmas características formais e materiais (mesmo conteúdo). Nestes casos, caracterizada a numeração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seqüencial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em um mesmo agrupamento de documentos com nomenclatura diferente, foi priorizada a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seqüência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numérica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  a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nomenclatura do tipo de livro notarial; como, por exemplo, numeração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seqüencial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em livros de procurações e registro de procurações. Assim na ordenação física foi normalizada a seguinte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seqüência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de livros notariais: contratos, sociedades, hipotecas/quitações, transmissões/notas, transmissões diversas, registros de conhecimento (referentes a guias de transmissão), compra e venda, procurações, registro de procurações, registros diversos, registro ordinário, registro geral, substabelecimentos, substabelecimentos de procuração, testamentos, apontamento de letras, protesto de letras, protestos especiais, registro de protesto.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4. Resultados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Como resultante do trabalho realizado foram produzidos dois instrumentos para facilitar a busca e o acesso aos documentos, a saber: um índice de fundos e a descrição documental obedecendo as normas gerais internacionais de descrição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- ISAD (G) (em anexo).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5. CONCLUSÕES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Em conformidade com os objetivos que nortearam a realização deste trabalho, evidenciou-se a importância de sua execução na proteção à documentação pública e no acesso destas informações ao cidadão.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A descrição segundo o conjunto de regras gerais da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ISAD(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G), hoje tão disseminada no contexto nacional e internacional, possibilita a confiabilidade e clareza das informações, assim como a sua identificação no acervo; tornando possível a integração de dados de diferentes arquivos num sistema unificado de informação.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Para o Arquivo Público, o resultado deste trabalho é de vital importância, pois a tarefa de reorganização deste acervo, objetivando tratar a documentação de acordo com os critérios técnicos das ciências envolvidas, só se completa, se servir para o auxílio ao usuário destas fontes primárias. Esta é a função mais nobre e a missão fundamental desta instituição pública: disponibilizar o material apropriadamente tratado à sociedade a qual atendemos.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6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Bibliografia Consultada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1º TABELIONATO DE NOTAS DE PORTO ALEGRE.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Manual de procedimentos, </w:t>
      </w:r>
      <w:proofErr w:type="gram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 01 - Escrituras Públicas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 Porto Alegre, janeiro 2000.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ANUÁRIO ESTATÍSTICO FEE.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Quadro resumo de criação dos municípios no Rio Grande do Sul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 POA, 1997.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ARQUIVO NACIONAL (Brasil).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Fiscais e Meirinhos: A Administração no Brasil Colonial.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2 ed.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Rio de Janeiro: Nova Fronteira, 1985.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AVELAR, Hélio de Alcântara. </w:t>
      </w:r>
      <w:proofErr w:type="spell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Historia</w:t>
      </w:r>
      <w:proofErr w:type="spellEnd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 Administrativa e Econômica do Brasil.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Rio de Janeiro, MEC, FENAME, 1970.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lastRenderedPageBreak/>
        <w:t xml:space="preserve">BELLOTTO, Heloísa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Liberalli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Arquivos Permanentes: Tratamento Documental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 São Paulo: T.A. Queiroz, 1991.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CASTILHO, Ataliba Teixeira de (Organizador)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A sistematização de arquivos públicos.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Campinas, SP: Editora da UNICAMP, 1991.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DICIONÁRIO Brasileiro de Terminologia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 São Paulo, Associação de Arquivistas Brasileiros - Núcleo Regional de São Paulo: Secretaria de Estado da Cultura, 1996.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DUCHEIN MICHEL.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O respeito aos fundos em </w:t>
      </w:r>
      <w:proofErr w:type="spell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: princípios teóricos e práticos.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Revista Arquivo &amp; Administração. Rio de Janeiro, v. 10-14, p. 14-33, ago.1996.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FERREIRA FILHO, Artur. </w:t>
      </w:r>
      <w:proofErr w:type="spell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Historia</w:t>
      </w:r>
      <w:proofErr w:type="spellEnd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 Geral do Rio Grande do Sul: (1503 - 1957).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 Porto Alegre: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Globo, 1958.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FORTES, Amyr Borges e WAGNER, João Batista Santiago.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História Administrativa, Judiciária e Eclesiástica do Rio Grande do Sul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 Porto Alegre: Globo, 1963.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MARTINS FILHO, Ives Gandra da Silva.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O Sistema Legal e Judiciário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Brasileiro.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  São Paulo: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LTR,  2000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NEQUETE, Lenine.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 xml:space="preserve">O Poder Judiciário no Brasil a Partir da Independência: I </w:t>
      </w:r>
      <w:proofErr w:type="gramStart"/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Império .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 Porto Alegre: Sulina, 1973.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PORTUGAL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. Ordenações Filipinas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: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Ordenações e leis do Reino de Portugal 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Recopiladas por Mandato d'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el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Rei D. Filipe I.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SILVA, Francisco Carlos Teixeira da Silva.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Os arquivos cartorários e o trabalho do historiador.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 Revista Acervo, RJ, Arquivo Nacional, vol. 2,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1,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pag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1-106,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jan-jun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, 1987.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Anexo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Descrição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arquivística</w:t>
      </w:r>
      <w:proofErr w:type="spellEnd"/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1.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CÓDIGO(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S) DE REFERÊNCIA BR / APERS / T45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1.2 TÍTULO Tabelionatos do Município de Osório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1.3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DATA(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S)-LIMITE 1858-1968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1.4 NÍVEL DE DESCRIÇÃO Fundo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1.5 DIMENSÃO E SUPORTE 10,31 metros lineares de documentos textuais.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2.1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nome(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S) do(S) produtor(ES) Tabeliães do Município de Osório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2.2 HISTÓRIA ADMINISTRATIVA/BIOGRAFIA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Este fundo é composto pela Sede (1º e 2º Tabelionatos), Freguesia de São Domingos das Torres e 2º ao 7º Distritos. É composto pelos Tabelionatos de Conceição do Arroio e Osório.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 município é criado em 1857, originário de Santo Antônio da Patrulha, e com a denominação de Conceição do Arroio. Além dos livros notariais produzidos no próprio município, o acervo contempla material da localidade de Santo Antônio da Patrulha que origina este município. Em 1934 é alterado o nome do município, de Conceição do Arroio para Osório.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DETALHAMENTO DA LEGISLAÇÃO NO PERÍODO ABRANGENTE DO ACERVO: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Lei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401, 16 de dezembro 1857 - Eleva a freguesia de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N.ª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S.ª da Conceição do Arroio à categoria de vila, com os territórios de Conceição do Arroio e Torres.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Ato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33, 07 de outubro 1858 - Cria o distrito de Palmares.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Lei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1.705, 13 de dezembro 1888 - Subdivide em dois o distrito de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Maquiné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lastRenderedPageBreak/>
        <w:t xml:space="preserve">-      Lei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1.741, 24 de dezembro 1888 - Eleva a povoação de Três Forquilhas à categoria de freguesia.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Ato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164, 31 de março 1890 - Suprime o distrito de Três Forquilhas (criado pela Lei n.º 1.705, de 13.12.1888). Seu território fica anexado ao distrito de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Maquiné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(ficando assim revogada a Lei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1.741, de 24.12.1888). 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Ato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253, 17 de junho 1890 - Cria o 4º distrito de paz, nas Três Forquilhas, município de Conceição do Arroio.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Dec.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5.596, 24 de maio 1934 - Dá, ao atual município de Conceição do Arroio, a denominação de Osório.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Dec.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7.199, 31 de março 1938 - Eleva a vila de Osório à categoria de cidade.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Dec.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7.589, 29 de novembro 1938 - Adota o nome de Itapeva para a vila de Três Forquilhas.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Dec.- Lei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720, 29 de dezembro 1944 - Adota o nome de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Itati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para a vila de Itapeva e o de Emílio Meyer para a vila de Palmares.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Lei Mun.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2, 17 de julho 1950 - Adota o nome de Palmares do Sul para a vila de Emílio Meyer.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Lei Mun.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3, 18 de novembro 1953 - Adota o nome de Barra do Ouro para a vila de Marquês do Erval.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-      Lei Mun.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n.º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4, 18 de novembro 1953 - Cria o distrito de Terra de Areia. Considera a vila de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Cornélios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como povoado, e adota o nome de Capão da Canoa para este último distrito.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2.3 procedência</w:t>
      </w:r>
      <w:proofErr w:type="gramEnd"/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 documentação foi enviada ao Arquivo Público / RS pelo produtor como consta nas listagens e ofícios do período de 1910 a 1971.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3.1 ÂMBITO E CONTEÚDO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 fundo é constituído de livros notariais originais de Contratos, Transmissões/Notas, Procurações, Registros de Procurações, Registros Diversos, Registros Gerais, Substabelecimentos, Apontamentos de Letras e Protestos de Letras.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Os livros de Notas (da Sede) nº 1 (1861/1866) e S/Nº (1862/1865) são escrituras de escravos.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O livro de Notas (do 2º distrito) S/Nº (1864/1886) é composto por cinco livros em uma mesma encadernação e é escritura de escravos.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3.3 INCORPORAÇÕES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Não há previsão de incorporações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3.4 SISTEMA DE ARRANJO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Na definição do quadro de arranjo considerou-se fundo os tabelionatos de cada município do Estado. Estes fundos foram ordenados pelo método geográfico.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4.1 CONDIÇÕES DE ACESSO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Livre acesso conforme Lei nº 8.159 de 08 de janeiro de 1991 e decreto nº 2.134, art. 23 de 24 de janeiro de 1997. A natureza jurídica é de caráter privado e por delegação do Poder Público.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4.2 CONDIÇÕES DE REPRODUÇÃO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Ignora-se restrições para a reprodução por tratar-se de documentos públicos.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4.3 IDIOMA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Língua portuguesa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lastRenderedPageBreak/>
        <w:t>4.4 CARACTERÍSTICAS FÍSICAS E REQUISITOS TÉCNICOS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Livros encadernados com textos manuscritos e/ou datilografados.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4.5 INSTRUMENTOS DE PESQUISA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RIO GRANDE DO SUL. Secretaria da Administração e dos Recursos Humanos. </w:t>
      </w:r>
      <w:r w:rsidRPr="000971A8">
        <w:rPr>
          <w:rFonts w:ascii="Verdana" w:eastAsia="Times New Roman" w:hAnsi="Verdana" w:cs="Times New Roman"/>
          <w:b/>
          <w:bCs/>
          <w:color w:val="333333"/>
          <w:sz w:val="15"/>
          <w:szCs w:val="15"/>
          <w:shd w:val="clear" w:color="auto" w:fill="FFFFFF"/>
          <w:lang w:eastAsia="pt-BR"/>
        </w:rPr>
        <w:t>Índice de fundos</w:t>
      </w: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 Porto Alegre, 2004. 172p.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6.1 NOTAS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Existem diversas seriações numéricas com ausência de números e datas de livros notariais que estão sob custódia do Arquivo Público até a data de 1968; após esta data a documentação é encontrada apenas no tabelionato de origem.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7.1 NOTA DO ARQUIVISTA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"História Administrativa dos Municípios do Acervo dos Tabelionatos" pesquisado pela historiógrafa Márcia Rocha.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Descrição elaborada pelas Arquivistas: Eloá Maria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Possebon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e Marta Helena de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Araujo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e pela estagiária do curso de Arquivologia da Universidade Federal do Rio Grande do Sul: Carmen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Valenti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Colaboração da Arquivista Adriana </w:t>
      </w:r>
      <w:proofErr w:type="spell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Berwanger</w:t>
      </w:r>
      <w:proofErr w:type="spell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 na produção da História Administrativa/Biografia deste fundo.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 xml:space="preserve">7.3 </w:t>
      </w:r>
      <w:proofErr w:type="gramStart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DATA(</w:t>
      </w:r>
      <w:proofErr w:type="gramEnd"/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S) DA(S) DESCRIÇÃO(ÕES)</w:t>
      </w:r>
    </w:p>
    <w:p w:rsidR="000971A8" w:rsidRPr="000971A8" w:rsidRDefault="000971A8" w:rsidP="000971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</w:pPr>
      <w:r w:rsidRPr="000971A8">
        <w:rPr>
          <w:rFonts w:ascii="Verdana" w:eastAsia="Times New Roman" w:hAnsi="Verdana" w:cs="Times New Roman"/>
          <w:color w:val="333333"/>
          <w:sz w:val="15"/>
          <w:szCs w:val="15"/>
          <w:shd w:val="clear" w:color="auto" w:fill="FFFFFF"/>
          <w:lang w:eastAsia="pt-BR"/>
        </w:rPr>
        <w:t>Porto Alegre, 27 de janeiro de 2004.</w:t>
      </w:r>
    </w:p>
    <w:p w:rsidR="00C37A31" w:rsidRDefault="000971A8">
      <w:bookmarkStart w:id="1" w:name="_GoBack"/>
      <w:bookmarkEnd w:id="1"/>
    </w:p>
    <w:sectPr w:rsidR="00C3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9C9"/>
    <w:multiLevelType w:val="multilevel"/>
    <w:tmpl w:val="9C6E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1664"/>
    <w:multiLevelType w:val="multilevel"/>
    <w:tmpl w:val="6D5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E36BC"/>
    <w:multiLevelType w:val="multilevel"/>
    <w:tmpl w:val="0E3E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C7589"/>
    <w:multiLevelType w:val="multilevel"/>
    <w:tmpl w:val="A722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A8"/>
    <w:rsid w:val="000971A8"/>
    <w:rsid w:val="001A557E"/>
    <w:rsid w:val="002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BFCF-3AB7-4F77-891E-10400EA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71A8"/>
    <w:rPr>
      <w:color w:val="0000FF"/>
      <w:u w:val="single"/>
    </w:rPr>
  </w:style>
  <w:style w:type="character" w:customStyle="1" w:styleId="textochamada">
    <w:name w:val="textochamada"/>
    <w:basedOn w:val="Fontepargpadro"/>
    <w:rsid w:val="000971A8"/>
  </w:style>
  <w:style w:type="paragraph" w:styleId="NormalWeb">
    <w:name w:val="Normal (Web)"/>
    <w:basedOn w:val="Normal"/>
    <w:uiPriority w:val="99"/>
    <w:semiHidden/>
    <w:unhideWhenUsed/>
    <w:rsid w:val="0009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71A8"/>
    <w:rPr>
      <w:b/>
      <w:bCs/>
    </w:rPr>
  </w:style>
  <w:style w:type="character" w:styleId="nfase">
    <w:name w:val="Emphasis"/>
    <w:basedOn w:val="Fontepargpadro"/>
    <w:uiPriority w:val="20"/>
    <w:qFormat/>
    <w:rsid w:val="00097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4430</Words>
  <Characters>23927</Characters>
  <Application>Microsoft Office Word</Application>
  <DocSecurity>0</DocSecurity>
  <Lines>199</Lines>
  <Paragraphs>56</Paragraphs>
  <ScaleCrop>false</ScaleCrop>
  <Company/>
  <LinksUpToDate>false</LinksUpToDate>
  <CharactersWithSpaces>28301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Silva Balbon</dc:creator>
  <cp:keywords/>
  <dc:description/>
  <cp:lastModifiedBy>Juliano Silva Balbon</cp:lastModifiedBy>
  <cp:revision>1</cp:revision>
  <dcterms:created xsi:type="dcterms:W3CDTF">2020-03-09T21:24:00Z</dcterms:created>
  <dcterms:modified xsi:type="dcterms:W3CDTF">2020-03-09T21:25:00Z</dcterms:modified>
</cp:coreProperties>
</file>